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41F8" w14:textId="4689686B" w:rsidR="00840587" w:rsidRPr="009C3C98" w:rsidRDefault="000C5A06" w:rsidP="000F324D">
      <w:pPr>
        <w:spacing w:line="240" w:lineRule="auto"/>
        <w:jc w:val="center"/>
        <w:rPr>
          <w:b/>
          <w:bCs/>
          <w:i/>
          <w:iCs/>
          <w:color w:val="000000" w:themeColor="text1"/>
        </w:rPr>
      </w:pPr>
      <w:r w:rsidRPr="009C3C98">
        <w:rPr>
          <w:b/>
          <w:bCs/>
          <w:i/>
          <w:iCs/>
          <w:color w:val="000000" w:themeColor="text1"/>
        </w:rPr>
        <w:t>Criteria 2.6.1</w:t>
      </w:r>
    </w:p>
    <w:p w14:paraId="2077B4C1" w14:textId="6BD5BC53" w:rsidR="000C5A06" w:rsidRPr="009C3C98" w:rsidRDefault="000C5A06" w:rsidP="000F324D">
      <w:pPr>
        <w:spacing w:line="240" w:lineRule="auto"/>
        <w:jc w:val="center"/>
        <w:rPr>
          <w:color w:val="000000" w:themeColor="text1"/>
        </w:rPr>
      </w:pPr>
      <w:r w:rsidRPr="009C3C98">
        <w:rPr>
          <w:b/>
          <w:bCs/>
          <w:i/>
          <w:iCs/>
          <w:color w:val="000000" w:themeColor="text1"/>
        </w:rPr>
        <w:t>Programme Outcomes and Course Outcomes for all programmes</w:t>
      </w:r>
    </w:p>
    <w:p w14:paraId="6E1075EB" w14:textId="717E449E" w:rsidR="000C5A06" w:rsidRPr="009C3C98" w:rsidRDefault="000C5A06" w:rsidP="000C5A06">
      <w:pPr>
        <w:jc w:val="both"/>
        <w:rPr>
          <w:color w:val="000000" w:themeColor="text1"/>
          <w:lang w:val="en-IN"/>
        </w:rPr>
      </w:pPr>
      <w:r w:rsidRPr="009C3C98">
        <w:rPr>
          <w:color w:val="000000" w:themeColor="text1"/>
          <w:lang w:val="en-IN"/>
        </w:rPr>
        <w:t>IMI</w:t>
      </w:r>
      <w:r w:rsidR="000F324D">
        <w:rPr>
          <w:color w:val="000000" w:themeColor="text1"/>
          <w:lang w:val="en-IN"/>
        </w:rPr>
        <w:t xml:space="preserve"> </w:t>
      </w:r>
      <w:r w:rsidRPr="009C3C98">
        <w:rPr>
          <w:color w:val="000000" w:themeColor="text1"/>
          <w:lang w:val="en-IN"/>
        </w:rPr>
        <w:t xml:space="preserve">Bhubaneswar ensures that all academic activities are consistent with its vision and mission statements.  The POs, PSOs and COs are periodically aligned for all its academic and non-academic activities.  The </w:t>
      </w:r>
      <w:r w:rsidRPr="000F324D">
        <w:rPr>
          <w:b/>
          <w:bCs/>
          <w:color w:val="000000" w:themeColor="text1"/>
          <w:lang w:val="en-IN"/>
        </w:rPr>
        <w:t xml:space="preserve">Programme </w:t>
      </w:r>
      <w:r w:rsidR="000F324D">
        <w:rPr>
          <w:b/>
          <w:bCs/>
          <w:color w:val="000000" w:themeColor="text1"/>
          <w:lang w:val="en-IN"/>
        </w:rPr>
        <w:t xml:space="preserve">Office </w:t>
      </w:r>
      <w:r w:rsidRPr="009C3C98">
        <w:rPr>
          <w:color w:val="000000" w:themeColor="text1"/>
          <w:lang w:val="en-IN"/>
        </w:rPr>
        <w:t xml:space="preserve">for all the programmes </w:t>
      </w:r>
      <w:r w:rsidR="000F324D">
        <w:rPr>
          <w:color w:val="000000" w:themeColor="text1"/>
          <w:lang w:val="en-IN"/>
        </w:rPr>
        <w:t xml:space="preserve">is </w:t>
      </w:r>
      <w:r w:rsidRPr="009C3C98">
        <w:rPr>
          <w:color w:val="000000" w:themeColor="text1"/>
          <w:lang w:val="en-IN"/>
        </w:rPr>
        <w:t>constituted by the management of the Institute</w:t>
      </w:r>
      <w:r w:rsidR="000F324D">
        <w:rPr>
          <w:color w:val="000000" w:themeColor="text1"/>
          <w:lang w:val="en-IN"/>
        </w:rPr>
        <w:t xml:space="preserve"> and is </w:t>
      </w:r>
      <w:r w:rsidRPr="009C3C98">
        <w:rPr>
          <w:color w:val="000000" w:themeColor="text1"/>
          <w:lang w:val="en-IN"/>
        </w:rPr>
        <w:t xml:space="preserve">responsible for effective programme execution and alignment with the mission and POs and PSOs.  The committee coordinates with the faculty members and administration for smooth conduct of the classes, study tours, guest sessions, examinations, declaration of results and other off-campus academic activities.  The programme committee, under the direct supervision of the </w:t>
      </w:r>
      <w:r w:rsidRPr="000F324D">
        <w:rPr>
          <w:b/>
          <w:bCs/>
          <w:color w:val="000000" w:themeColor="text1"/>
          <w:lang w:val="en-IN"/>
        </w:rPr>
        <w:t>Academic Advisory Committee</w:t>
      </w:r>
      <w:r w:rsidRPr="009C3C98">
        <w:rPr>
          <w:color w:val="000000" w:themeColor="text1"/>
          <w:lang w:val="en-IN"/>
        </w:rPr>
        <w:t xml:space="preserve"> ensures that the course outlines are updated regularly to be relevant to the local, national, regional</w:t>
      </w:r>
      <w:r w:rsidR="000F324D">
        <w:rPr>
          <w:color w:val="000000" w:themeColor="text1"/>
          <w:lang w:val="en-IN"/>
        </w:rPr>
        <w:t>,</w:t>
      </w:r>
      <w:r w:rsidRPr="009C3C98">
        <w:rPr>
          <w:color w:val="000000" w:themeColor="text1"/>
          <w:lang w:val="en-IN"/>
        </w:rPr>
        <w:t xml:space="preserve"> and global developmental requirements.  The Institute encourages both inside and outside the classroom learning activities to develop outstanding managerial talent. </w:t>
      </w:r>
    </w:p>
    <w:p w14:paraId="7B6387AB" w14:textId="141B552B" w:rsidR="000C5A06" w:rsidRPr="009C3C98" w:rsidRDefault="000C5A06" w:rsidP="000C5A06">
      <w:pPr>
        <w:jc w:val="both"/>
        <w:rPr>
          <w:color w:val="000000" w:themeColor="text1"/>
          <w:lang w:val="en-IN"/>
        </w:rPr>
      </w:pPr>
      <w:r w:rsidRPr="009C3C98">
        <w:rPr>
          <w:color w:val="000000" w:themeColor="text1"/>
          <w:lang w:val="en-IN"/>
        </w:rPr>
        <w:t>To facilitate learning in alignment with the POs and PSOs, IMI, Bhubaneswar offers a curriculum that is comparable to that of the best B-Schools.  The curriculum focuses on analysis of real-time data, cases, simulations</w:t>
      </w:r>
      <w:r w:rsidR="000F324D">
        <w:rPr>
          <w:color w:val="000000" w:themeColor="text1"/>
          <w:lang w:val="en-IN"/>
        </w:rPr>
        <w:t>,</w:t>
      </w:r>
      <w:r w:rsidRPr="009C3C98">
        <w:rPr>
          <w:color w:val="000000" w:themeColor="text1"/>
          <w:lang w:val="en-IN"/>
        </w:rPr>
        <w:t xml:space="preserve"> and live projects.  The curriculum incorporates the challenges of contemporary corporate world by inviting corporate leaders to provide practical insights to the students.  This makes the programme offered by IMI robust and rigorous enough to prepare students for the corporate and academic world.  The POs, PSOs and COs for all the programmes are defined below:</w:t>
      </w:r>
    </w:p>
    <w:p w14:paraId="46419D0A" w14:textId="38EB78AE" w:rsidR="000C5A06" w:rsidRDefault="000C5A06" w:rsidP="000C5A06">
      <w:pPr>
        <w:jc w:val="both"/>
        <w:rPr>
          <w:color w:val="000000" w:themeColor="text1"/>
          <w:lang w:val="en-IN"/>
        </w:rPr>
      </w:pPr>
      <w:r w:rsidRPr="009C3C98">
        <w:rPr>
          <w:color w:val="000000" w:themeColor="text1"/>
          <w:lang w:val="en-IN"/>
        </w:rPr>
        <w:t xml:space="preserve">The Course Outcomes (CO) – </w:t>
      </w:r>
      <w:r w:rsidRPr="009C3C98">
        <w:rPr>
          <w:b/>
          <w:bCs/>
          <w:i/>
          <w:iCs/>
          <w:color w:val="000000" w:themeColor="text1"/>
          <w:lang w:val="en-IN"/>
        </w:rPr>
        <w:t>known as Learning Outcomes at IMI Bhubaneswar</w:t>
      </w:r>
      <w:r w:rsidRPr="009C3C98">
        <w:rPr>
          <w:color w:val="000000" w:themeColor="text1"/>
          <w:lang w:val="en-IN"/>
        </w:rPr>
        <w:t xml:space="preserve"> – of all the courses are given in the respective course outlines which are circulated to the programme office and the students of the respective course. The Course Outcomes are created by the respective faculty which are vetted by the Area Chairs, Faculty Council, and Academic Advisory Committee. If any major change is required, it is put up before the Governing Board. The Chairperson (Programme) is mandated to implement the programme related decisions. The Chair</w:t>
      </w:r>
      <w:r w:rsidR="000F324D">
        <w:rPr>
          <w:color w:val="000000" w:themeColor="text1"/>
          <w:lang w:val="en-IN"/>
        </w:rPr>
        <w:t xml:space="preserve">person (Programme) </w:t>
      </w:r>
      <w:r w:rsidRPr="009C3C98">
        <w:rPr>
          <w:color w:val="000000" w:themeColor="text1"/>
          <w:lang w:val="en-IN"/>
        </w:rPr>
        <w:t>disseminates the various approved templates among faculty members and ensures that the laid down standards are followed in a structured manner. A sample CO is provided below.</w:t>
      </w:r>
    </w:p>
    <w:tbl>
      <w:tblPr>
        <w:tblStyle w:val="TableGrid"/>
        <w:tblW w:w="0" w:type="auto"/>
        <w:tblLook w:val="04A0" w:firstRow="1" w:lastRow="0" w:firstColumn="1" w:lastColumn="0" w:noHBand="0" w:noVBand="1"/>
      </w:tblPr>
      <w:tblGrid>
        <w:gridCol w:w="9350"/>
      </w:tblGrid>
      <w:tr w:rsidR="009C3C98" w:rsidRPr="009C3C98" w14:paraId="25407CE3" w14:textId="77777777" w:rsidTr="00B12C17">
        <w:tc>
          <w:tcPr>
            <w:tcW w:w="9350" w:type="dxa"/>
          </w:tcPr>
          <w:p w14:paraId="4DC8A3CB" w14:textId="77777777" w:rsidR="000C5A06" w:rsidRPr="009C3C98" w:rsidRDefault="000C5A06" w:rsidP="00B12C17">
            <w:pPr>
              <w:jc w:val="center"/>
              <w:rPr>
                <w:b/>
                <w:bCs/>
                <w:color w:val="000000" w:themeColor="text1"/>
                <w:lang w:val="en-IN"/>
              </w:rPr>
            </w:pPr>
            <w:r w:rsidRPr="009C3C98">
              <w:rPr>
                <w:b/>
                <w:bCs/>
                <w:color w:val="000000" w:themeColor="text1"/>
                <w:lang w:val="en-IN"/>
              </w:rPr>
              <w:t>Course Outcome EC-501 Managerial Economics</w:t>
            </w:r>
          </w:p>
        </w:tc>
      </w:tr>
      <w:tr w:rsidR="000C5A06" w:rsidRPr="009C3C98" w14:paraId="4BEB6367" w14:textId="77777777" w:rsidTr="00B12C17">
        <w:tc>
          <w:tcPr>
            <w:tcW w:w="9350" w:type="dxa"/>
          </w:tcPr>
          <w:p w14:paraId="3603D7A6" w14:textId="77777777" w:rsidR="000C5A06" w:rsidRPr="009C3C98" w:rsidRDefault="000C5A06" w:rsidP="00B12C17">
            <w:pPr>
              <w:rPr>
                <w:color w:val="000000" w:themeColor="text1"/>
                <w:lang w:val="en-IN"/>
              </w:rPr>
            </w:pPr>
            <w:r w:rsidRPr="009C3C98">
              <w:rPr>
                <w:color w:val="000000" w:themeColor="text1"/>
                <w:lang w:val="en-IN"/>
              </w:rPr>
              <w:t>At the end of the course, the student will be able:</w:t>
            </w:r>
          </w:p>
          <w:p w14:paraId="4C74C436" w14:textId="77777777" w:rsidR="000C5A06" w:rsidRPr="009C3C98" w:rsidRDefault="000C5A06" w:rsidP="00B12C17">
            <w:pPr>
              <w:rPr>
                <w:color w:val="000000" w:themeColor="text1"/>
                <w:lang w:val="en-IN"/>
              </w:rPr>
            </w:pPr>
          </w:p>
          <w:p w14:paraId="36981B57" w14:textId="77777777" w:rsidR="000C5A06" w:rsidRPr="009C3C98" w:rsidRDefault="000C5A06" w:rsidP="000C5A06">
            <w:pPr>
              <w:pStyle w:val="ListParagraph"/>
              <w:numPr>
                <w:ilvl w:val="0"/>
                <w:numId w:val="1"/>
              </w:numPr>
              <w:rPr>
                <w:color w:val="000000" w:themeColor="text1"/>
                <w:lang w:val="en-IN"/>
              </w:rPr>
            </w:pPr>
            <w:r w:rsidRPr="009C3C98">
              <w:rPr>
                <w:color w:val="000000" w:themeColor="text1"/>
                <w:lang w:val="en-IN"/>
              </w:rPr>
              <w:t xml:space="preserve">To demonstrate an understanding of methods, </w:t>
            </w:r>
            <w:proofErr w:type="gramStart"/>
            <w:r w:rsidRPr="009C3C98">
              <w:rPr>
                <w:color w:val="000000" w:themeColor="text1"/>
                <w:lang w:val="en-IN"/>
              </w:rPr>
              <w:t>content</w:t>
            </w:r>
            <w:proofErr w:type="gramEnd"/>
            <w:r w:rsidRPr="009C3C98">
              <w:rPr>
                <w:color w:val="000000" w:themeColor="text1"/>
                <w:lang w:val="en-IN"/>
              </w:rPr>
              <w:t xml:space="preserve"> and scope of micro economic principles in managerial decision making. (LO-1)</w:t>
            </w:r>
          </w:p>
          <w:p w14:paraId="045DBCA4" w14:textId="77777777" w:rsidR="000C5A06" w:rsidRPr="009C3C98" w:rsidRDefault="000C5A06" w:rsidP="000C5A06">
            <w:pPr>
              <w:pStyle w:val="ListParagraph"/>
              <w:numPr>
                <w:ilvl w:val="0"/>
                <w:numId w:val="1"/>
              </w:numPr>
              <w:rPr>
                <w:color w:val="000000" w:themeColor="text1"/>
                <w:lang w:val="en-IN"/>
              </w:rPr>
            </w:pPr>
            <w:r w:rsidRPr="009C3C98">
              <w:rPr>
                <w:color w:val="000000" w:themeColor="text1"/>
                <w:lang w:val="en-IN"/>
              </w:rPr>
              <w:t>To be familiar with the principles of rationality in decision making (LO-2)</w:t>
            </w:r>
          </w:p>
          <w:p w14:paraId="1B1A7F80" w14:textId="77777777" w:rsidR="000C5A06" w:rsidRPr="009C3C98" w:rsidRDefault="000C5A06" w:rsidP="000C5A06">
            <w:pPr>
              <w:pStyle w:val="ListParagraph"/>
              <w:numPr>
                <w:ilvl w:val="0"/>
                <w:numId w:val="1"/>
              </w:numPr>
              <w:rPr>
                <w:color w:val="000000" w:themeColor="text1"/>
                <w:lang w:val="en-IN"/>
              </w:rPr>
            </w:pPr>
            <w:r w:rsidRPr="009C3C98">
              <w:rPr>
                <w:color w:val="000000" w:themeColor="text1"/>
                <w:lang w:val="en-IN"/>
              </w:rPr>
              <w:t>To analyse and interpret economic data for use in decision making and comprehend solutions to business problems. (LO-3)</w:t>
            </w:r>
          </w:p>
          <w:p w14:paraId="629A1383" w14:textId="77777777" w:rsidR="000C5A06" w:rsidRPr="009C3C98" w:rsidRDefault="000C5A06" w:rsidP="000C5A06">
            <w:pPr>
              <w:pStyle w:val="ListParagraph"/>
              <w:numPr>
                <w:ilvl w:val="0"/>
                <w:numId w:val="1"/>
              </w:numPr>
              <w:rPr>
                <w:b/>
                <w:bCs/>
                <w:color w:val="000000" w:themeColor="text1"/>
                <w:lang w:val="en-IN"/>
              </w:rPr>
            </w:pPr>
            <w:r w:rsidRPr="009C3C98">
              <w:rPr>
                <w:color w:val="000000" w:themeColor="text1"/>
                <w:lang w:val="en-IN"/>
              </w:rPr>
              <w:t>To show an awareness of the range of applicability of microeconomic economic theory in the process of decision making. (LO-4)</w:t>
            </w:r>
          </w:p>
        </w:tc>
      </w:tr>
    </w:tbl>
    <w:p w14:paraId="205145F4" w14:textId="77777777" w:rsidR="000C5A06" w:rsidRPr="009C3C98" w:rsidRDefault="000C5A06" w:rsidP="000C5A06">
      <w:pPr>
        <w:jc w:val="both"/>
        <w:rPr>
          <w:color w:val="000000" w:themeColor="text1"/>
          <w:lang w:val="en-IN"/>
        </w:rPr>
      </w:pPr>
    </w:p>
    <w:p w14:paraId="3289DDD8" w14:textId="2120CA80" w:rsidR="000C5A06" w:rsidRPr="009C3C98" w:rsidRDefault="000C5A06" w:rsidP="000C5A06">
      <w:pPr>
        <w:jc w:val="both"/>
        <w:rPr>
          <w:color w:val="000000" w:themeColor="text1"/>
        </w:rPr>
      </w:pPr>
      <w:r w:rsidRPr="009C3C98">
        <w:rPr>
          <w:color w:val="000000" w:themeColor="text1"/>
          <w:lang w:val="en-IN"/>
        </w:rPr>
        <w:t>All the course outcomes and programme outcomes are stored in intranet and is accessible by all faculty and students via ERP.</w:t>
      </w:r>
      <w:r w:rsidR="000F324D">
        <w:rPr>
          <w:color w:val="000000" w:themeColor="text1"/>
          <w:lang w:val="en-IN"/>
        </w:rPr>
        <w:t xml:space="preserve"> The mission and vision statements are engraved and put up in all the prominent places at the institute. The mission, vision along with POs and PSOs are prominently displayed on the website for all stakeholders. </w:t>
      </w:r>
    </w:p>
    <w:sectPr w:rsidR="000C5A06" w:rsidRPr="009C3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B7F02"/>
    <w:multiLevelType w:val="hybridMultilevel"/>
    <w:tmpl w:val="9C5AC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06"/>
    <w:rsid w:val="000C5A06"/>
    <w:rsid w:val="000F324D"/>
    <w:rsid w:val="00134721"/>
    <w:rsid w:val="00840587"/>
    <w:rsid w:val="009C3C98"/>
    <w:rsid w:val="00A07794"/>
    <w:rsid w:val="00E212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D658"/>
  <w15:chartTrackingRefBased/>
  <w15:docId w15:val="{30E4ACCF-C91A-4702-800E-2756F5DE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C5A0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Vishal Kumar</dc:creator>
  <cp:keywords/>
  <dc:description/>
  <cp:lastModifiedBy>Rohit Vishal Kumar</cp:lastModifiedBy>
  <cp:revision>3</cp:revision>
  <dcterms:created xsi:type="dcterms:W3CDTF">2021-05-08T10:44:00Z</dcterms:created>
  <dcterms:modified xsi:type="dcterms:W3CDTF">2021-06-24T11:40:00Z</dcterms:modified>
</cp:coreProperties>
</file>